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E4986">
      <w:pPr>
        <w:jc w:val="center"/>
        <w:rPr>
          <w:rFonts w:ascii="Times New Roman" w:hAnsi="Times New Roman" w:cs="Times New Roman"/>
          <w:b/>
          <w:sz w:val="36"/>
          <w:szCs w:val="36"/>
        </w:rPr>
      </w:pPr>
      <w:bookmarkStart w:id="0" w:name="_GoBack"/>
      <w:bookmarkEnd w:id="0"/>
      <w:r>
        <w:rPr>
          <w:rFonts w:ascii="Times New Roman" w:hAnsi="Times New Roman" w:cs="Times New Roman"/>
          <w:b/>
          <w:color w:val="000000"/>
          <w:sz w:val="36"/>
          <w:szCs w:val="36"/>
          <w:shd w:val="clear" w:color="auto" w:fill="FFFFFF"/>
        </w:rPr>
        <w:t>«</w:t>
      </w:r>
      <w:r>
        <w:rPr>
          <w:rFonts w:ascii="Times New Roman" w:hAnsi="Times New Roman" w:cs="Times New Roman"/>
          <w:i/>
          <w:color w:val="000000"/>
          <w:sz w:val="28"/>
          <w:szCs w:val="28"/>
          <w:shd w:val="clear" w:color="auto" w:fill="FFFFFF"/>
        </w:rPr>
        <w:t>Наименование организации</w:t>
      </w:r>
      <w:r>
        <w:rPr>
          <w:rFonts w:ascii="Times New Roman" w:hAnsi="Times New Roman" w:cs="Times New Roman"/>
          <w:b/>
          <w:color w:val="000000"/>
          <w:sz w:val="36"/>
          <w:szCs w:val="36"/>
          <w:shd w:val="clear" w:color="auto" w:fill="FFFFFF"/>
        </w:rPr>
        <w:t>»</w:t>
      </w:r>
    </w:p>
    <w:p w14:paraId="1C476CED">
      <w:pPr>
        <w:jc w:val="center"/>
        <w:rPr>
          <w:rFonts w:ascii="Times New Roman" w:hAnsi="Times New Roman" w:cs="Times New Roman"/>
          <w:sz w:val="52"/>
          <w:szCs w:val="52"/>
        </w:rPr>
      </w:pPr>
    </w:p>
    <w:p w14:paraId="7B2A925E">
      <w:pPr>
        <w:jc w:val="center"/>
        <w:rPr>
          <w:rFonts w:ascii="Times New Roman" w:hAnsi="Times New Roman" w:cs="Times New Roman"/>
          <w:sz w:val="52"/>
          <w:szCs w:val="52"/>
        </w:rPr>
      </w:pPr>
    </w:p>
    <w:p w14:paraId="2B3E0AEC">
      <w:pPr>
        <w:jc w:val="center"/>
        <w:rPr>
          <w:rFonts w:ascii="Times New Roman" w:hAnsi="Times New Roman" w:cs="Times New Roman"/>
          <w:sz w:val="52"/>
          <w:szCs w:val="52"/>
        </w:rPr>
      </w:pPr>
    </w:p>
    <w:p w14:paraId="0635D36F">
      <w:pPr>
        <w:jc w:val="center"/>
        <w:rPr>
          <w:rFonts w:ascii="Times New Roman" w:hAnsi="Times New Roman" w:cs="Times New Roman"/>
          <w:sz w:val="52"/>
          <w:szCs w:val="52"/>
        </w:rPr>
      </w:pPr>
    </w:p>
    <w:p w14:paraId="59FCF8AD">
      <w:pPr>
        <w:jc w:val="center"/>
        <w:rPr>
          <w:rFonts w:ascii="Times New Roman" w:hAnsi="Times New Roman" w:cs="Times New Roman"/>
          <w:sz w:val="52"/>
          <w:szCs w:val="52"/>
        </w:rPr>
      </w:pPr>
    </w:p>
    <w:p w14:paraId="58DCFD42">
      <w:pPr>
        <w:jc w:val="center"/>
        <w:rPr>
          <w:rFonts w:ascii="Times New Roman" w:hAnsi="Times New Roman" w:cs="Times New Roman"/>
          <w:sz w:val="52"/>
          <w:szCs w:val="52"/>
        </w:rPr>
      </w:pPr>
    </w:p>
    <w:p w14:paraId="30ECA2D8">
      <w:pPr>
        <w:jc w:val="center"/>
        <w:rPr>
          <w:rFonts w:ascii="Times New Roman" w:hAnsi="Times New Roman" w:cs="Times New Roman"/>
          <w:sz w:val="36"/>
          <w:szCs w:val="36"/>
        </w:rPr>
      </w:pPr>
      <w:r>
        <w:rPr>
          <w:rFonts w:ascii="Times New Roman" w:hAnsi="Times New Roman" w:cs="Times New Roman"/>
          <w:sz w:val="36"/>
          <w:szCs w:val="36"/>
        </w:rPr>
        <w:t>ПРОГРАММА УКРЕПЛЕНИЯ ЗДОРОВЬЯ РАБОТАЮЩИХ</w:t>
      </w:r>
    </w:p>
    <w:p w14:paraId="2CB90CCC">
      <w:pPr>
        <w:jc w:val="center"/>
        <w:rPr>
          <w:rFonts w:ascii="Times New Roman" w:hAnsi="Times New Roman" w:cs="Times New Roman"/>
          <w:sz w:val="36"/>
          <w:szCs w:val="36"/>
        </w:rPr>
      </w:pPr>
    </w:p>
    <w:p w14:paraId="522CC16E">
      <w:pPr>
        <w:jc w:val="center"/>
        <w:rPr>
          <w:rFonts w:ascii="Times New Roman" w:hAnsi="Times New Roman" w:cs="Times New Roman"/>
          <w:sz w:val="36"/>
          <w:szCs w:val="36"/>
        </w:rPr>
      </w:pPr>
    </w:p>
    <w:p w14:paraId="1A057234">
      <w:pPr>
        <w:jc w:val="center"/>
        <w:rPr>
          <w:rFonts w:ascii="Times New Roman" w:hAnsi="Times New Roman" w:cs="Times New Roman"/>
          <w:sz w:val="36"/>
          <w:szCs w:val="36"/>
        </w:rPr>
      </w:pPr>
    </w:p>
    <w:p w14:paraId="5DFAF52D">
      <w:pPr>
        <w:jc w:val="center"/>
        <w:rPr>
          <w:rFonts w:ascii="Times New Roman" w:hAnsi="Times New Roman" w:cs="Times New Roman"/>
          <w:sz w:val="36"/>
          <w:szCs w:val="36"/>
        </w:rPr>
      </w:pPr>
    </w:p>
    <w:p w14:paraId="7F9CB9B4">
      <w:pPr>
        <w:jc w:val="center"/>
        <w:rPr>
          <w:rFonts w:ascii="Times New Roman" w:hAnsi="Times New Roman" w:cs="Times New Roman"/>
          <w:sz w:val="36"/>
          <w:szCs w:val="36"/>
        </w:rPr>
      </w:pPr>
    </w:p>
    <w:p w14:paraId="3A8D1FFC">
      <w:pPr>
        <w:jc w:val="center"/>
        <w:rPr>
          <w:rFonts w:ascii="Times New Roman" w:hAnsi="Times New Roman" w:cs="Times New Roman"/>
          <w:sz w:val="36"/>
          <w:szCs w:val="36"/>
        </w:rPr>
      </w:pPr>
    </w:p>
    <w:p w14:paraId="5310C81C">
      <w:pPr>
        <w:jc w:val="center"/>
        <w:rPr>
          <w:rFonts w:ascii="Times New Roman" w:hAnsi="Times New Roman" w:cs="Times New Roman"/>
          <w:sz w:val="36"/>
          <w:szCs w:val="36"/>
        </w:rPr>
      </w:pPr>
    </w:p>
    <w:p w14:paraId="45D9B18A">
      <w:pPr>
        <w:jc w:val="center"/>
        <w:rPr>
          <w:rFonts w:ascii="Times New Roman" w:hAnsi="Times New Roman" w:cs="Times New Roman"/>
          <w:sz w:val="36"/>
          <w:szCs w:val="36"/>
        </w:rPr>
      </w:pPr>
    </w:p>
    <w:p w14:paraId="4B7CCD07">
      <w:pPr>
        <w:jc w:val="center"/>
        <w:rPr>
          <w:rFonts w:ascii="Times New Roman" w:hAnsi="Times New Roman" w:cs="Times New Roman"/>
          <w:sz w:val="36"/>
          <w:szCs w:val="36"/>
        </w:rPr>
      </w:pPr>
    </w:p>
    <w:p w14:paraId="0DD273D7">
      <w:pPr>
        <w:jc w:val="center"/>
        <w:rPr>
          <w:rFonts w:ascii="Times New Roman" w:hAnsi="Times New Roman" w:cs="Times New Roman"/>
          <w:sz w:val="36"/>
          <w:szCs w:val="36"/>
        </w:rPr>
      </w:pPr>
    </w:p>
    <w:p w14:paraId="5DB2C0F7">
      <w:pPr>
        <w:jc w:val="center"/>
        <w:rPr>
          <w:rFonts w:ascii="Times New Roman" w:hAnsi="Times New Roman" w:cs="Times New Roman"/>
          <w:sz w:val="36"/>
          <w:szCs w:val="36"/>
        </w:rPr>
      </w:pPr>
    </w:p>
    <w:p w14:paraId="2DA1B6F9">
      <w:pPr>
        <w:jc w:val="center"/>
        <w:rPr>
          <w:rFonts w:ascii="Times New Roman" w:hAnsi="Times New Roman" w:cs="Times New Roman"/>
          <w:sz w:val="36"/>
          <w:szCs w:val="36"/>
        </w:rPr>
      </w:pPr>
    </w:p>
    <w:p w14:paraId="0248D715">
      <w:pPr>
        <w:rPr>
          <w:rFonts w:ascii="Times New Roman" w:hAnsi="Times New Roman" w:cs="Times New Roman"/>
          <w:sz w:val="24"/>
          <w:szCs w:val="24"/>
        </w:rPr>
      </w:pPr>
    </w:p>
    <w:p w14:paraId="5052365A">
      <w:pPr>
        <w:ind w:left="21" w:firstLine="619"/>
        <w:jc w:val="both"/>
        <w:rPr>
          <w:rFonts w:ascii="Times New Roman" w:hAnsi="Times New Roman" w:cs="Times New Roman"/>
          <w:sz w:val="24"/>
          <w:szCs w:val="24"/>
        </w:rPr>
      </w:pPr>
      <w:r>
        <w:rPr>
          <w:rFonts w:ascii="Times New Roman" w:hAnsi="Times New Roman" w:cs="Times New Roman"/>
          <w:sz w:val="24"/>
          <w:szCs w:val="24"/>
        </w:rPr>
        <w:t xml:space="preserve">Работающие граждане составляют половину населения и вносят основной вклад в </w:t>
      </w:r>
      <w:r>
        <w:rPr>
          <w:rFonts w:ascii="Times New Roman" w:hAnsi="Times New Roman" w:cs="Times New Roman"/>
          <w:sz w:val="24"/>
          <w:szCs w:val="24"/>
          <w:lang w:eastAsia="ru-RU"/>
        </w:rPr>
        <w:drawing>
          <wp:inline distT="0" distB="0" distL="0" distR="0">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 cy="11430"/>
                    </a:xfrm>
                    <a:prstGeom prst="rect">
                      <a:avLst/>
                    </a:prstGeom>
                    <a:noFill/>
                    <a:ln>
                      <a:noFill/>
                    </a:ln>
                  </pic:spPr>
                </pic:pic>
              </a:graphicData>
            </a:graphic>
          </wp:inline>
        </w:drawing>
      </w:r>
      <w:r>
        <w:rPr>
          <w:rFonts w:ascii="Times New Roman" w:hAnsi="Times New Roman" w:cs="Times New Roman"/>
          <w:sz w:val="24"/>
          <w:szCs w:val="24"/>
        </w:rPr>
        <w:t>экономическое и социальное развитие страны. Сохранение здоровья граждан в трудоспособном возрасте представляет собой важнейший элемент национальной безопасности.</w:t>
      </w:r>
    </w:p>
    <w:p w14:paraId="63914C83">
      <w:pPr>
        <w:shd w:val="clear" w:color="auto" w:fill="FFFFFF"/>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Исследования свидетельствуют, что здоровье работающих граждан определяется не только условиями и характером труда, но также социальными и индивидуальными, в первую очередь поведенческими, факторами риска. </w:t>
      </w:r>
    </w:p>
    <w:p w14:paraId="1506F4FD">
      <w:pPr>
        <w:shd w:val="clear" w:color="auto" w:fill="FFFFFF"/>
        <w:spacing w:before="100" w:beforeAutospacing="1"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укрепления здоровья работников на рабочем месте включает создание условий, снижающих не только риск профессионально обусловленных заболеваний, но и риск развития социально значимых хронических заболеваний. Он повышается при нерациональном питании, недостаточной физической активности, стрессах на рабочем месте, наличии вредных привычек (курение, злоупотребление алкоголем). 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 посредством создания здоровье сберегающей среды или территорий здорового образа жизни. </w:t>
      </w:r>
    </w:p>
    <w:p w14:paraId="69A5D5C8">
      <w:pPr>
        <w:shd w:val="clear" w:color="auto" w:fill="FFFFFF"/>
        <w:spacing w:before="100" w:beforeAutospacing="1" w:after="240" w:line="240" w:lineRule="auto"/>
        <w:jc w:val="both"/>
        <w:rPr>
          <w:rFonts w:ascii="Times New Roman" w:hAnsi="Times New Roman" w:cs="Times New Roman"/>
          <w:sz w:val="24"/>
          <w:szCs w:val="24"/>
        </w:rPr>
      </w:pPr>
      <w:r>
        <w:rPr>
          <w:rFonts w:ascii="Times New Roman" w:hAnsi="Times New Roman" w:cs="Times New Roman"/>
          <w:sz w:val="24"/>
          <w:szCs w:val="24"/>
        </w:rPr>
        <w:t>Программы укрепления здоровья на рабочем месте – являются компонентом федерального проекта «Здоровье для каждого» Национального проекта «Продолжительная и активная жизнь» инициированного Президентом В.В. Путиным.</w:t>
      </w:r>
    </w:p>
    <w:p w14:paraId="21AE8724">
      <w:pPr>
        <w:ind w:left="21" w:firstLine="590"/>
        <w:rPr>
          <w:rFonts w:ascii="Times New Roman" w:hAnsi="Times New Roman" w:cs="Times New Roman"/>
          <w:b/>
          <w:sz w:val="28"/>
          <w:szCs w:val="28"/>
        </w:rPr>
      </w:pPr>
      <w:r>
        <w:rPr>
          <w:rFonts w:ascii="Times New Roman" w:hAnsi="Times New Roman" w:cs="Times New Roman"/>
          <w:sz w:val="36"/>
          <w:szCs w:val="36"/>
        </w:rPr>
        <w:t xml:space="preserve"> </w:t>
      </w:r>
      <w:r>
        <w:rPr>
          <w:rFonts w:ascii="Times New Roman" w:hAnsi="Times New Roman" w:cs="Times New Roman"/>
          <w:b/>
          <w:sz w:val="28"/>
          <w:szCs w:val="28"/>
        </w:rPr>
        <w:t>Цели программы</w:t>
      </w:r>
    </w:p>
    <w:p w14:paraId="28A985B6">
      <w:pPr>
        <w:spacing w:after="0" w:line="240" w:lineRule="auto"/>
        <w:ind w:left="23" w:firstLine="590"/>
        <w:jc w:val="both"/>
        <w:rPr>
          <w:rFonts w:ascii="Times New Roman" w:hAnsi="Times New Roman" w:cs="Times New Roman"/>
          <w:sz w:val="24"/>
          <w:szCs w:val="24"/>
        </w:rPr>
      </w:pPr>
      <w:r>
        <w:rPr>
          <w:rFonts w:ascii="Times New Roman" w:hAnsi="Times New Roman" w:cs="Times New Roman"/>
          <w:sz w:val="24"/>
          <w:szCs w:val="24"/>
        </w:rPr>
        <w:t xml:space="preserve">1. Сохранение и укрепление здоровья работников путем поощрения здорового образа жизни, расширения мер профилактики заболеваний, формирование здорового климата в коллективе, повышение эффективности деятельности всех работников. </w:t>
      </w:r>
    </w:p>
    <w:p w14:paraId="3AA0F016">
      <w:pPr>
        <w:spacing w:after="0" w:line="240" w:lineRule="auto"/>
        <w:ind w:left="23" w:firstLine="590"/>
        <w:jc w:val="both"/>
        <w:rPr>
          <w:rFonts w:ascii="Times New Roman" w:hAnsi="Times New Roman" w:cs="Times New Roman"/>
          <w:sz w:val="24"/>
          <w:szCs w:val="24"/>
        </w:rPr>
      </w:pPr>
      <w:r>
        <w:rPr>
          <w:rFonts w:ascii="Times New Roman" w:hAnsi="Times New Roman" w:cs="Times New Roman"/>
          <w:sz w:val="24"/>
          <w:szCs w:val="24"/>
        </w:rPr>
        <w:t xml:space="preserve">2.Позитивное изменение отношения работников к собственному здоровью, преобразование гигиенических знаний в конкретные действия и убеждения. </w:t>
      </w:r>
    </w:p>
    <w:p w14:paraId="3BD023AF">
      <w:pPr>
        <w:spacing w:after="0" w:line="240" w:lineRule="auto"/>
        <w:ind w:left="23" w:firstLine="590"/>
        <w:jc w:val="both"/>
        <w:rPr>
          <w:rFonts w:ascii="Times New Roman" w:hAnsi="Times New Roman" w:cs="Times New Roman"/>
          <w:sz w:val="24"/>
          <w:szCs w:val="24"/>
        </w:rPr>
      </w:pPr>
      <w:r>
        <w:rPr>
          <w:rFonts w:ascii="Times New Roman" w:hAnsi="Times New Roman" w:cs="Times New Roman"/>
          <w:sz w:val="24"/>
          <w:szCs w:val="24"/>
        </w:rPr>
        <w:t>3. Профилактика заболеваний, факторами риска которых являются низкая физическая активность, избыточный вес, курение, неправильное питание, повышенное артериальное давление.</w:t>
      </w:r>
    </w:p>
    <w:p w14:paraId="03D025C2">
      <w:pPr>
        <w:spacing w:after="0" w:line="240" w:lineRule="auto"/>
        <w:ind w:left="23" w:firstLine="590"/>
        <w:jc w:val="both"/>
        <w:rPr>
          <w:rFonts w:ascii="Times New Roman" w:hAnsi="Times New Roman" w:cs="Times New Roman"/>
          <w:sz w:val="24"/>
          <w:szCs w:val="24"/>
        </w:rPr>
      </w:pPr>
      <w:r>
        <w:rPr>
          <w:rFonts w:ascii="Times New Roman" w:hAnsi="Times New Roman" w:cs="Times New Roman"/>
          <w:sz w:val="24"/>
          <w:szCs w:val="24"/>
        </w:rPr>
        <w:t xml:space="preserve"> 4. Снижение потерь, связанных с временной нетрудоспособностью работников.</w:t>
      </w:r>
    </w:p>
    <w:p w14:paraId="1043B8FA">
      <w:pPr>
        <w:spacing w:after="0" w:line="240" w:lineRule="auto"/>
        <w:ind w:left="23" w:firstLine="590"/>
        <w:jc w:val="both"/>
        <w:rPr>
          <w:rFonts w:ascii="Times New Roman" w:hAnsi="Times New Roman" w:cs="Times New Roman"/>
          <w:sz w:val="24"/>
          <w:szCs w:val="24"/>
        </w:rPr>
      </w:pPr>
      <w:r>
        <w:rPr>
          <w:rFonts w:ascii="Times New Roman" w:hAnsi="Times New Roman" w:cs="Times New Roman"/>
          <w:sz w:val="24"/>
          <w:szCs w:val="24"/>
        </w:rPr>
        <w:t xml:space="preserve"> 5. Улучшение психологического климата в коллективах</w:t>
      </w:r>
    </w:p>
    <w:p w14:paraId="6EF92976">
      <w:pPr>
        <w:spacing w:after="0" w:line="240" w:lineRule="auto"/>
        <w:ind w:left="23" w:firstLine="590"/>
        <w:jc w:val="both"/>
        <w:rPr>
          <w:rFonts w:ascii="Times New Roman" w:hAnsi="Times New Roman" w:cs="Times New Roman"/>
          <w:sz w:val="24"/>
          <w:szCs w:val="24"/>
        </w:rPr>
      </w:pPr>
    </w:p>
    <w:p w14:paraId="18189F58">
      <w:pPr>
        <w:ind w:left="21" w:firstLine="590"/>
        <w:rPr>
          <w:rFonts w:ascii="Times New Roman" w:hAnsi="Times New Roman" w:cs="Times New Roman"/>
          <w:b/>
          <w:sz w:val="28"/>
          <w:szCs w:val="28"/>
        </w:rPr>
      </w:pPr>
      <w:r>
        <w:rPr>
          <w:rFonts w:ascii="Times New Roman" w:hAnsi="Times New Roman" w:cs="Times New Roman"/>
          <w:b/>
          <w:sz w:val="28"/>
          <w:szCs w:val="28"/>
        </w:rPr>
        <w:t>Задачи программы</w:t>
      </w:r>
    </w:p>
    <w:p w14:paraId="06762380">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1. Укрепление здоровья работников;</w:t>
      </w:r>
    </w:p>
    <w:p w14:paraId="1AF32768">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2. Увеличение трудового долголетия работников;</w:t>
      </w:r>
    </w:p>
    <w:p w14:paraId="6DC24FD1">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 xml:space="preserve">3. Обеспечение безопасных и комфортных условий труда; </w:t>
      </w:r>
    </w:p>
    <w:p w14:paraId="203DA01E">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 xml:space="preserve">4. Предупреждение травматизма и профессиональных заболеваний; </w:t>
      </w:r>
    </w:p>
    <w:p w14:paraId="3D44673D">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 xml:space="preserve">5. Повышение мотивации к формированию потребности в здоровом образе жизни, физической активности и правильном питании; </w:t>
      </w:r>
    </w:p>
    <w:p w14:paraId="1FA70622">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 xml:space="preserve">6. Создание благоприятного социально-психологического климата в коллективе. Обеспечение психологической и физической устойчивости работников, профилактика эмоционального выгорания; </w:t>
      </w:r>
    </w:p>
    <w:p w14:paraId="6C3A4770">
      <w:pPr>
        <w:spacing w:after="0" w:line="240" w:lineRule="auto"/>
        <w:ind w:left="23" w:firstLine="590"/>
        <w:rPr>
          <w:rFonts w:ascii="Times New Roman" w:hAnsi="Times New Roman" w:cs="Times New Roman"/>
          <w:sz w:val="24"/>
          <w:szCs w:val="24"/>
        </w:rPr>
      </w:pPr>
      <w:r>
        <w:rPr>
          <w:rFonts w:ascii="Times New Roman" w:hAnsi="Times New Roman" w:cs="Times New Roman"/>
          <w:sz w:val="24"/>
          <w:szCs w:val="24"/>
        </w:rPr>
        <w:t xml:space="preserve">7. Повышение производительности труда и конкурентоспособности предприятия; </w:t>
      </w:r>
    </w:p>
    <w:p w14:paraId="7F41EB35">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Сроки реализации программы:</w:t>
      </w:r>
      <w:r>
        <w:rPr>
          <w:rFonts w:ascii="Times New Roman" w:hAnsi="Times New Roman" w:eastAsia="Times New Roman" w:cs="Times New Roman"/>
          <w:color w:val="0F1115"/>
          <w:sz w:val="24"/>
          <w:szCs w:val="24"/>
          <w:lang w:eastAsia="ru-RU"/>
        </w:rPr>
        <w:t> 2026-2030 гг.</w:t>
      </w:r>
    </w:p>
    <w:p w14:paraId="1EE93EED">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Структура корпоративной программы включает следующие модули:</w:t>
      </w:r>
    </w:p>
    <w:p w14:paraId="751FC883">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Анализ текущей ситуации</w:t>
      </w:r>
    </w:p>
    <w:p w14:paraId="5F5C2F31">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Профилактика табакокурения</w:t>
      </w:r>
    </w:p>
    <w:p w14:paraId="6E8B5053">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Формирование культуры здорового питания</w:t>
      </w:r>
    </w:p>
    <w:p w14:paraId="71958513">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Профилактика гиподинамии и избыточной массы тела</w:t>
      </w:r>
    </w:p>
    <w:p w14:paraId="101F0CBC">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Сохранение психического здоровья и благополучия</w:t>
      </w:r>
    </w:p>
    <w:p w14:paraId="12385241">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Сохранение репродуктивного здоровья</w:t>
      </w:r>
    </w:p>
    <w:p w14:paraId="15B845CF">
      <w:pPr>
        <w:numPr>
          <w:ilvl w:val="0"/>
          <w:numId w:val="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Мониторинг и оценка эффективности программы</w:t>
      </w:r>
    </w:p>
    <w:p w14:paraId="595AC088">
      <w:pPr>
        <w:spacing w:before="480" w:after="48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F1115"/>
          <w:sz w:val="24"/>
          <w:szCs w:val="24"/>
          <w:lang w:eastAsia="ru-RU"/>
        </w:rPr>
        <w:t>Сроки реализации программы:</w:t>
      </w:r>
      <w:r>
        <w:rPr>
          <w:rFonts w:ascii="Times New Roman" w:hAnsi="Times New Roman" w:eastAsia="Times New Roman" w:cs="Times New Roman"/>
          <w:color w:val="0F1115"/>
          <w:sz w:val="24"/>
          <w:szCs w:val="24"/>
          <w:lang w:eastAsia="ru-RU"/>
        </w:rPr>
        <w:t> 2026-2030 гг</w:t>
      </w:r>
    </w:p>
    <w:p w14:paraId="0999134D">
      <w:pPr>
        <w:pStyle w:val="10"/>
        <w:numPr>
          <w:ilvl w:val="0"/>
          <w:numId w:val="2"/>
        </w:num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МОДУЛЬ: АНАЛИЗ ТЕКУЩЕЙ СИТУАЦИИ</w:t>
      </w:r>
    </w:p>
    <w:p w14:paraId="44867A0C">
      <w:pPr>
        <w:spacing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color w:val="0F1115"/>
          <w:sz w:val="24"/>
          <w:szCs w:val="24"/>
          <w:lang w:eastAsia="ru-RU"/>
        </w:rPr>
        <w:t>Цель модуля</w:t>
      </w:r>
      <w:r>
        <w:rPr>
          <w:rFonts w:ascii="Times New Roman" w:hAnsi="Times New Roman" w:eastAsia="Times New Roman" w:cs="Times New Roman"/>
          <w:color w:val="0F1115"/>
          <w:sz w:val="24"/>
          <w:szCs w:val="24"/>
          <w:lang w:eastAsia="ru-RU"/>
        </w:rPr>
        <w:t>: Предварительное анкетирование для уточнения следующих ключевых данных:</w:t>
      </w:r>
    </w:p>
    <w:p w14:paraId="7604F593">
      <w:pPr>
        <w:spacing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 Оценка распространенности основных факторов риска развития ХНИЗ (табакокурения, потребления алкоголя, недостаточного потребления овощей и фруктов, низкой двигательной активности);</w:t>
      </w:r>
    </w:p>
    <w:p w14:paraId="374DF2BA">
      <w:pPr>
        <w:spacing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 Оценка информированности граждан по вопросам формирования здорового образа жизни и самоконтроля;</w:t>
      </w:r>
    </w:p>
    <w:p w14:paraId="446599D2">
      <w:pPr>
        <w:spacing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 Оценка приверженности сотрудников принципам ЗОЖ;</w:t>
      </w:r>
    </w:p>
    <w:p w14:paraId="08CAD560">
      <w:pPr>
        <w:spacing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 Оценка условий и мер, предпринимаемых в организации по формированию ЗОЖ на рабочих местах.</w:t>
      </w:r>
    </w:p>
    <w:p w14:paraId="12A65886">
      <w:pPr>
        <w:pStyle w:val="10"/>
        <w:spacing w:after="0" w:line="240" w:lineRule="auto"/>
        <w:jc w:val="both"/>
        <w:rPr>
          <w:rFonts w:ascii="Times New Roman" w:hAnsi="Times New Roman" w:eastAsia="Times New Roman" w:cs="Times New Roman"/>
          <w:color w:val="0F1115"/>
          <w:sz w:val="24"/>
          <w:szCs w:val="24"/>
          <w:lang w:eastAsia="ru-RU"/>
        </w:rPr>
      </w:pPr>
    </w:p>
    <w:p w14:paraId="5086280B">
      <w:pPr>
        <w:pStyle w:val="10"/>
        <w:spacing w:after="0" w:line="240" w:lineRule="auto"/>
        <w:jc w:val="both"/>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2. МОДУЛЬ: ПРОФИЛАКТИКА ТАБАКОКУРЕНИЯ</w:t>
      </w:r>
    </w:p>
    <w:p w14:paraId="45BB1B3E">
      <w:pPr>
        <w:shd w:val="clear" w:color="auto" w:fill="FFFFFF"/>
        <w:spacing w:before="240" w:after="24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Табакокурение остается одной из наиболее значимых медико-социальных проблем. Последствия как активного, так и пассивного курения хорошо изучены: эта привычка является одной из ведущих предотвратимых причин преждевременной заболеваемости и смертности в мире и в России. Курение служит главным фактором риска развития ХНИЗ, на которые приходится 89% в структуре общей смертности в РФ, что наносит существенный экономический ущерб. Согласно данным Центра развития здравоохранения Московской школы управления «Сколково», совокупные затраты, связанные с курящими сотрудниками (медицинские расходы, более частые и длительные случаи нетрудоспособности), на 28,8% выше, чем с некурящими.</w:t>
      </w:r>
    </w:p>
    <w:p w14:paraId="3610ECEB">
      <w:pPr>
        <w:shd w:val="clear" w:color="auto" w:fill="FFFFFF"/>
        <w:spacing w:before="240" w:after="24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Цель модуля:</w:t>
      </w:r>
      <w:r>
        <w:rPr>
          <w:rFonts w:ascii="Times New Roman" w:hAnsi="Times New Roman" w:eastAsia="Times New Roman" w:cs="Times New Roman"/>
          <w:color w:val="0F1115"/>
          <w:sz w:val="24"/>
          <w:szCs w:val="24"/>
          <w:lang w:eastAsia="ru-RU"/>
        </w:rPr>
        <w:t> Снижение распространенности табакокурения среди сотрудников и повышение их приверженности здоровому образу жизни.</w:t>
      </w:r>
    </w:p>
    <w:p w14:paraId="425DD394">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Организационные мероприятия:</w:t>
      </w:r>
    </w:p>
    <w:p w14:paraId="248AB74C">
      <w:pPr>
        <w:numPr>
          <w:ilvl w:val="0"/>
          <w:numId w:val="3"/>
        </w:numPr>
        <w:shd w:val="clear" w:color="auto" w:fill="FFFFFF"/>
        <w:spacing w:before="100" w:beforeAutospacing="1"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скрининга (анкетирования) для выявления курящих сотрудников с предоставлением краткой консультации по отказу от курения.</w:t>
      </w:r>
    </w:p>
    <w:p w14:paraId="78A6B2FA">
      <w:pPr>
        <w:numPr>
          <w:ilvl w:val="0"/>
          <w:numId w:val="3"/>
        </w:numPr>
        <w:shd w:val="clear" w:color="auto" w:fill="FFFFFF"/>
        <w:spacing w:before="100" w:beforeAutospacing="1"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Разработка и внедрение внутренних нормативных актов, обеспечивающих формирование среды, свободной от табачного дыма (в соответствии с Федеральным законом №15-ФЗ от 23.02.2013).</w:t>
      </w:r>
    </w:p>
    <w:p w14:paraId="2E2D0EE4">
      <w:pPr>
        <w:numPr>
          <w:ilvl w:val="0"/>
          <w:numId w:val="3"/>
        </w:numPr>
        <w:shd w:val="clear" w:color="auto" w:fill="FFFFFF"/>
        <w:spacing w:before="100" w:beforeAutospacing="1"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Определение и оборудование мест для размещения информационных знаков о запрете курения (утвержденных Минздравом РФ) в помещениях и на территории.</w:t>
      </w:r>
    </w:p>
    <w:p w14:paraId="11A1143A">
      <w:pPr>
        <w:numPr>
          <w:ilvl w:val="0"/>
          <w:numId w:val="3"/>
        </w:numPr>
        <w:shd w:val="clear" w:color="auto" w:fill="FFFFFF"/>
        <w:spacing w:before="100" w:beforeAutospacing="1"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Издание приказа о запрете курения, включая использование электронных сигарет, испарителей и систем нагревания табака, во всех обозначенных зонах.</w:t>
      </w:r>
    </w:p>
    <w:p w14:paraId="6B91AEEA">
      <w:pPr>
        <w:numPr>
          <w:ilvl w:val="0"/>
          <w:numId w:val="3"/>
        </w:numPr>
        <w:shd w:val="clear" w:color="auto" w:fill="FFFFFF"/>
        <w:spacing w:before="100" w:beforeAutospacing="1" w:after="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(при необходимости) строго ограниченных по времени и месту условий для курения вне помещений с соответствующим обозначением.</w:t>
      </w:r>
    </w:p>
    <w:p w14:paraId="4EF0298A">
      <w:pPr>
        <w:numPr>
          <w:ilvl w:val="0"/>
          <w:numId w:val="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Регулярный контроль соблюдения установленного запрета и наличия актуальных информационных знаков.</w:t>
      </w:r>
    </w:p>
    <w:p w14:paraId="6E766793">
      <w:pPr>
        <w:numPr>
          <w:ilvl w:val="0"/>
          <w:numId w:val="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Обустройство зон отдыха здоровыми альтернативами (настольные игры, головоломки и т.п.).</w:t>
      </w:r>
    </w:p>
    <w:p w14:paraId="4F706771">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Информационно-просветительские мероприятия:</w:t>
      </w:r>
    </w:p>
    <w:p w14:paraId="263D2967">
      <w:pPr>
        <w:numPr>
          <w:ilvl w:val="0"/>
          <w:numId w:val="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интерактивных тренингов о вреде курения и способах преодоления зависимости, включая групповые и индивидуальные встречи со специалистами.</w:t>
      </w:r>
    </w:p>
    <w:p w14:paraId="136A159C">
      <w:pPr>
        <w:numPr>
          <w:ilvl w:val="0"/>
          <w:numId w:val="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Размещение материалов, посвященных отказу от курения, в специально отведенных для курения местах и зонах общего пользования.</w:t>
      </w:r>
    </w:p>
    <w:p w14:paraId="67CBB632">
      <w:pPr>
        <w:numPr>
          <w:ilvl w:val="0"/>
          <w:numId w:val="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Использование корпоративных каналов связи (электронная почта, мессенджеры) для распространения просветительских материалов, а также проведения викторин и конкурсов.</w:t>
      </w:r>
    </w:p>
    <w:p w14:paraId="0D1982AB">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Массовые и профилактические акции:</w:t>
      </w:r>
    </w:p>
    <w:p w14:paraId="26B6A02E">
      <w:pPr>
        <w:numPr>
          <w:ilvl w:val="0"/>
          <w:numId w:val="5"/>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тематических акций, квестов, онлайн-соревнований с использованием корпоративных цифровых платформ, направленных на вовлечение персонала в программу.</w:t>
      </w:r>
    </w:p>
    <w:p w14:paraId="472BD82E">
      <w:pPr>
        <w:numPr>
          <w:ilvl w:val="0"/>
          <w:numId w:val="5"/>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Регулярное информирование сотрудников о планируемых мероприятиях и стимулирование их участия.</w:t>
      </w:r>
    </w:p>
    <w:p w14:paraId="781143E2">
      <w:p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3. МОДУЛЬ: ФОРМИРОВАНИЕ КУЛЬТУРЫ ЗДОРОВОГО ПИТАНИЯ</w:t>
      </w:r>
    </w:p>
    <w:p w14:paraId="496639E0">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Рациональное питание играет ключевую роль в профилактике большинства ХНИЗ. Сбалансированный рацион, богатый овощами, фруктами, цельнозерновыми продуктами с умеренным включением продуктов животного происхождения, способствует снижению риска развития онкологических и сердечно-сосудистых заболеваний, сахарного диабета, ожирения и связанных с ними осложнений.</w:t>
      </w:r>
    </w:p>
    <w:p w14:paraId="71C71B1E">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Цель модуля:</w:t>
      </w:r>
      <w:r>
        <w:rPr>
          <w:rFonts w:ascii="Times New Roman" w:hAnsi="Times New Roman" w:eastAsia="Times New Roman" w:cs="Times New Roman"/>
          <w:color w:val="0F1115"/>
          <w:sz w:val="24"/>
          <w:szCs w:val="24"/>
          <w:lang w:eastAsia="ru-RU"/>
        </w:rPr>
        <w:t> Повышение приверженности сотрудников принципам рационального питания и формирование здоровых пищевых привычек.</w:t>
      </w:r>
    </w:p>
    <w:p w14:paraId="7E683871">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Организационные мероприятия:</w:t>
      </w:r>
    </w:p>
    <w:p w14:paraId="7F4A52A3">
      <w:pPr>
        <w:numPr>
          <w:ilvl w:val="0"/>
          <w:numId w:val="6"/>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оценки исходной ситуации (анализ пищевого поведения).</w:t>
      </w:r>
    </w:p>
    <w:p w14:paraId="615146B3">
      <w:pPr>
        <w:numPr>
          <w:ilvl w:val="0"/>
          <w:numId w:val="6"/>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Создание окружающей среды, поддерживающей выбор здорового питания.</w:t>
      </w:r>
    </w:p>
    <w:p w14:paraId="06123B3D">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Информационно-просветительские мероприятия:</w:t>
      </w:r>
    </w:p>
    <w:p w14:paraId="04775075">
      <w:pPr>
        <w:numPr>
          <w:ilvl w:val="0"/>
          <w:numId w:val="7"/>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Повышение осведомленности сотрудников о принципах здорового питания и формирование навыков составления рациона, в том числе через информирование о составе и калорийности блюд.</w:t>
      </w:r>
    </w:p>
    <w:p w14:paraId="70563BF1">
      <w:pPr>
        <w:numPr>
          <w:ilvl w:val="0"/>
          <w:numId w:val="7"/>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Разработка и распространение среди сотрудников тематических материалов (буклеты, памятки, электронные рассылки).</w:t>
      </w:r>
    </w:p>
    <w:p w14:paraId="37468988">
      <w:pPr>
        <w:numPr>
          <w:ilvl w:val="0"/>
          <w:numId w:val="7"/>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интерактивных тренингов с привлечением специалистов по диетологии.</w:t>
      </w:r>
    </w:p>
    <w:p w14:paraId="2816FF59">
      <w:pPr>
        <w:numPr>
          <w:ilvl w:val="0"/>
          <w:numId w:val="7"/>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Подготовка кратких информационных сообщений для размещения во внутренних корпоративных коммуникациях.</w:t>
      </w:r>
    </w:p>
    <w:p w14:paraId="154EC41D">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Массовые и профилактические акции:</w:t>
      </w:r>
    </w:p>
    <w:p w14:paraId="09C64AA8">
      <w:pPr>
        <w:numPr>
          <w:ilvl w:val="0"/>
          <w:numId w:val="8"/>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межподразделенческого профилактического конкурса «Живи легче».</w:t>
      </w:r>
    </w:p>
    <w:p w14:paraId="172AB266">
      <w:pPr>
        <w:numPr>
          <w:ilvl w:val="0"/>
          <w:numId w:val="8"/>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Оформление пространства столовой тематическими плакатами.</w:t>
      </w:r>
    </w:p>
    <w:p w14:paraId="5C0AC2B4">
      <w:pPr>
        <w:numPr>
          <w:ilvl w:val="0"/>
          <w:numId w:val="8"/>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Введение понятной маркировки или информационных указателей для блюд и напитков из категории «Здоровое питание».</w:t>
      </w:r>
    </w:p>
    <w:p w14:paraId="23DC5074">
      <w:pPr>
        <w:numPr>
          <w:ilvl w:val="0"/>
          <w:numId w:val="8"/>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Выделение отдельной линии или полки для «Здорового меню дня».</w:t>
      </w:r>
    </w:p>
    <w:p w14:paraId="56073C8B">
      <w:pPr>
        <w:numPr>
          <w:ilvl w:val="0"/>
          <w:numId w:val="8"/>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Размещение высококалорийных добавок (масло, соусы, майонез) отдельно от готовых салатов.</w:t>
      </w:r>
    </w:p>
    <w:p w14:paraId="6EAA887E">
      <w:p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4. МОДУЛЬ: ПРОФИЛАКТИКА ГИПОДИНАМИИ И ИЗБЫТОЧНОЙ МАССЫ ТЕЛА</w:t>
      </w:r>
    </w:p>
    <w:p w14:paraId="1F434E79">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Цель модуля:</w:t>
      </w:r>
      <w:r>
        <w:rPr>
          <w:rFonts w:ascii="Times New Roman" w:hAnsi="Times New Roman" w:eastAsia="Times New Roman" w:cs="Times New Roman"/>
          <w:color w:val="0F1115"/>
          <w:sz w:val="24"/>
          <w:szCs w:val="24"/>
          <w:lang w:eastAsia="ru-RU"/>
        </w:rPr>
        <w:t> Повышение уровня физической активности сотрудников.</w:t>
      </w:r>
    </w:p>
    <w:p w14:paraId="742645CE">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Информационно-просветительские мероприятия:</w:t>
      </w:r>
    </w:p>
    <w:p w14:paraId="7B50E578">
      <w:pPr>
        <w:numPr>
          <w:ilvl w:val="0"/>
          <w:numId w:val="9"/>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Информирование о важности физической активности, ее видах, адекватных уровнях нагрузки и пульсовых зонах.</w:t>
      </w:r>
    </w:p>
    <w:p w14:paraId="698033B0">
      <w:pPr>
        <w:numPr>
          <w:ilvl w:val="0"/>
          <w:numId w:val="9"/>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Размещение на территории тематических плакатов и информационных стендов.</w:t>
      </w:r>
    </w:p>
    <w:p w14:paraId="764BD3F5">
      <w:pPr>
        <w:numPr>
          <w:ilvl w:val="0"/>
          <w:numId w:val="9"/>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Распространение среди сотрудников памяток, а также внедрение практик использования мобильных приложений для учета физической активности (подсчет шагов и др.).</w:t>
      </w:r>
    </w:p>
    <w:p w14:paraId="560F42DB">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Массовые и профилактические акции:</w:t>
      </w:r>
    </w:p>
    <w:p w14:paraId="2284B848">
      <w:pPr>
        <w:numPr>
          <w:ilvl w:val="0"/>
          <w:numId w:val="10"/>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Популяризация культуры здоровья через введение производственной и утренней гимнастики.</w:t>
      </w:r>
    </w:p>
    <w:p w14:paraId="589E6B23">
      <w:pPr>
        <w:numPr>
          <w:ilvl w:val="0"/>
          <w:numId w:val="10"/>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физкультурно-оздоровительных мероприятий массового, несоревновательного характера.</w:t>
      </w:r>
    </w:p>
    <w:p w14:paraId="5080F468">
      <w:pPr>
        <w:numPr>
          <w:ilvl w:val="0"/>
          <w:numId w:val="10"/>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соревновательных спортивно-массовых мероприятий.</w:t>
      </w:r>
    </w:p>
    <w:p w14:paraId="7E2D19B0">
      <w:pPr>
        <w:numPr>
          <w:ilvl w:val="0"/>
          <w:numId w:val="10"/>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курсов по скандинавской ходьбе, ходьбе «русских странников» и другим доступным видам активности.</w:t>
      </w:r>
    </w:p>
    <w:p w14:paraId="233F61F6">
      <w:pPr>
        <w:numPr>
          <w:ilvl w:val="0"/>
          <w:numId w:val="10"/>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межподразделенческого профилактического конкурса с использованием носимых гаджетов «Шаги жизни».</w:t>
      </w:r>
    </w:p>
    <w:p w14:paraId="519DD8EE">
      <w:p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5. МОДУЛЬ: СОХРАНЕНИЕ ПСИХИЧЕСКОГО ЗДОРОВЬЯ И БЛАГОПОЛУЧИЯ</w:t>
      </w:r>
    </w:p>
    <w:p w14:paraId="2F981600">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Психоэмоциональное состояние является не только фактором риска нарушений здоровья, но и напрямую влияет на уровень производительности труда.</w:t>
      </w:r>
    </w:p>
    <w:p w14:paraId="7890DB48">
      <w:pPr>
        <w:shd w:val="clear" w:color="auto" w:fill="FFFFFF"/>
        <w:spacing w:before="240" w:after="24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Цель модуля:</w:t>
      </w:r>
      <w:r>
        <w:rPr>
          <w:rFonts w:ascii="Times New Roman" w:hAnsi="Times New Roman" w:eastAsia="Times New Roman" w:cs="Times New Roman"/>
          <w:color w:val="0F1115"/>
          <w:sz w:val="24"/>
          <w:szCs w:val="24"/>
          <w:lang w:eastAsia="ru-RU"/>
        </w:rPr>
        <w:t> Формирование у сотрудников навыков управления стрессом и профилактики эмоционального выгорания.</w:t>
      </w:r>
    </w:p>
    <w:p w14:paraId="68395ED4">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Информационно-просветительские мероприятия:</w:t>
      </w:r>
    </w:p>
    <w:p w14:paraId="7BF7C6A6">
      <w:pPr>
        <w:numPr>
          <w:ilvl w:val="0"/>
          <w:numId w:val="1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Информирование работников об основах психогигиены.</w:t>
      </w:r>
    </w:p>
    <w:p w14:paraId="6B8CD420">
      <w:pPr>
        <w:numPr>
          <w:ilvl w:val="0"/>
          <w:numId w:val="11"/>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Обучение навыкам управления стрессом и профилактики профессионального выгорания.</w:t>
      </w:r>
    </w:p>
    <w:p w14:paraId="14B2B95A">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Массовые и профилактические акции:</w:t>
      </w:r>
    </w:p>
    <w:p w14:paraId="277D7090">
      <w:pPr>
        <w:numPr>
          <w:ilvl w:val="0"/>
          <w:numId w:val="12"/>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Организация Дня/Недели/Месяца психического здоровья.</w:t>
      </w:r>
    </w:p>
    <w:p w14:paraId="12540700">
      <w:pPr>
        <w:numPr>
          <w:ilvl w:val="0"/>
          <w:numId w:val="12"/>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Проведение тренингов по профилактике эмоционального выгорания и сохранению психологического благополучия («Стресс и выгорание»).</w:t>
      </w:r>
    </w:p>
    <w:p w14:paraId="3C9D57CD">
      <w:p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6. МОДУЛЬ: СОХРАНЕНИЕ РЕПРОДУКТИВНОГО ЗДОРОВЬЯ</w:t>
      </w:r>
    </w:p>
    <w:p w14:paraId="7B3E3447">
      <w:pPr>
        <w:shd w:val="clear" w:color="auto" w:fill="FFFFFF"/>
        <w:spacing w:before="240" w:after="240" w:line="240" w:lineRule="auto"/>
        <w:jc w:val="both"/>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Цель модуля:</w:t>
      </w:r>
      <w:r>
        <w:rPr>
          <w:rFonts w:ascii="Times New Roman" w:hAnsi="Times New Roman" w:eastAsia="Times New Roman" w:cs="Times New Roman"/>
          <w:color w:val="0F1115"/>
          <w:sz w:val="24"/>
          <w:szCs w:val="24"/>
          <w:lang w:eastAsia="ru-RU"/>
        </w:rPr>
        <w:t> Информирование работников репродуктивного возраста о наиболее распространенных заболеваниях, влияющих на фертильность, а также о возможностях оценки репродуктивного здоровья в рамках диспансеризации и создания условий для ее прохождения.</w:t>
      </w:r>
    </w:p>
    <w:p w14:paraId="1C687BB6">
      <w:pPr>
        <w:shd w:val="clear" w:color="auto" w:fill="FFFFFF"/>
        <w:spacing w:before="480" w:after="240" w:line="450" w:lineRule="atLeast"/>
        <w:outlineLvl w:val="2"/>
        <w:rPr>
          <w:rFonts w:ascii="Times New Roman" w:hAnsi="Times New Roman" w:eastAsia="Times New Roman" w:cs="Times New Roman"/>
          <w:b/>
          <w:bCs/>
          <w:color w:val="0F1115"/>
          <w:sz w:val="24"/>
          <w:szCs w:val="24"/>
          <w:lang w:eastAsia="ru-RU"/>
        </w:rPr>
      </w:pPr>
      <w:r>
        <w:rPr>
          <w:rFonts w:ascii="Times New Roman" w:hAnsi="Times New Roman" w:eastAsia="Times New Roman" w:cs="Times New Roman"/>
          <w:b/>
          <w:bCs/>
          <w:color w:val="0F1115"/>
          <w:sz w:val="24"/>
          <w:szCs w:val="24"/>
          <w:lang w:eastAsia="ru-RU"/>
        </w:rPr>
        <w:t>7. МОДУЛЬ: МОНИТОРИНГ И ОЦЕНКА ЭФФЕКТИВНОСТИ ПРОГРАММЫ</w:t>
      </w:r>
    </w:p>
    <w:p w14:paraId="6F5EA897">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Для эффективного управления программой необходим системный мониторинг и оценка ее реализации.</w:t>
      </w:r>
    </w:p>
    <w:p w14:paraId="1D76A0E5">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Оценка процесса:</w:t>
      </w:r>
    </w:p>
    <w:p w14:paraId="6B07245D">
      <w:pPr>
        <w:numPr>
          <w:ilvl w:val="0"/>
          <w:numId w:val="1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Уровень вовлеченности персонала в программу (количество участников мероприятий, активность в корпоративных чатах и т.д.).</w:t>
      </w:r>
    </w:p>
    <w:p w14:paraId="0C0B0650">
      <w:pPr>
        <w:numPr>
          <w:ilvl w:val="0"/>
          <w:numId w:val="1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Динамика информированности сотрудников (результаты опросов, в том числе онлайн).</w:t>
      </w:r>
    </w:p>
    <w:p w14:paraId="1DFDEEBA">
      <w:pPr>
        <w:numPr>
          <w:ilvl w:val="0"/>
          <w:numId w:val="1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Изменения в окружающей среде (наличие и состояние информационных знаков, материалов).</w:t>
      </w:r>
    </w:p>
    <w:p w14:paraId="31BC09DF">
      <w:pPr>
        <w:numPr>
          <w:ilvl w:val="0"/>
          <w:numId w:val="13"/>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Удовлетворенность сотрудников элементами программы и сбор обратной связи для ее корректировки.</w:t>
      </w:r>
    </w:p>
    <w:p w14:paraId="15D3819D">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Оценка ключевых результатов:</w:t>
      </w:r>
    </w:p>
    <w:p w14:paraId="6E201017">
      <w:pPr>
        <w:numPr>
          <w:ilvl w:val="0"/>
          <w:numId w:val="1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Краткосрочные:</w:t>
      </w:r>
      <w:r>
        <w:rPr>
          <w:rFonts w:ascii="Times New Roman" w:hAnsi="Times New Roman" w:eastAsia="Times New Roman" w:cs="Times New Roman"/>
          <w:color w:val="0F1115"/>
          <w:sz w:val="24"/>
          <w:szCs w:val="24"/>
          <w:lang w:eastAsia="ru-RU"/>
        </w:rPr>
        <w:t> Изменение знаний, отношений и поведения в отношении курения; рост мотивации к отказу от вредной привычки.</w:t>
      </w:r>
    </w:p>
    <w:p w14:paraId="5F163B10">
      <w:pPr>
        <w:numPr>
          <w:ilvl w:val="0"/>
          <w:numId w:val="1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Среднесрочные:</w:t>
      </w:r>
      <w:r>
        <w:rPr>
          <w:rFonts w:ascii="Times New Roman" w:hAnsi="Times New Roman" w:eastAsia="Times New Roman" w:cs="Times New Roman"/>
          <w:color w:val="0F1115"/>
          <w:sz w:val="24"/>
          <w:szCs w:val="24"/>
          <w:lang w:eastAsia="ru-RU"/>
        </w:rPr>
        <w:t> Количество сотрудников, предпринявших попытку бросить курить; динамика антропометрических показателей (ИМТ, окружность талии); улучшение функциональных показателей (ЧСС покоя, результаты нагрузочных проб).</w:t>
      </w:r>
    </w:p>
    <w:p w14:paraId="649E43FF">
      <w:pPr>
        <w:numPr>
          <w:ilvl w:val="0"/>
          <w:numId w:val="1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Долгосрочные:</w:t>
      </w:r>
      <w:r>
        <w:rPr>
          <w:rFonts w:ascii="Times New Roman" w:hAnsi="Times New Roman" w:eastAsia="Times New Roman" w:cs="Times New Roman"/>
          <w:color w:val="0F1115"/>
          <w:sz w:val="24"/>
          <w:szCs w:val="24"/>
          <w:lang w:eastAsia="ru-RU"/>
        </w:rPr>
        <w:t xml:space="preserve"> Снижение распространенности курения в коллективе; улучшение объективных показателей здоровья по результатам скрининга (АД, глюкоза, холестерин, ЭКГ и др.); снижение количества дней временной </w:t>
      </w:r>
    </w:p>
    <w:p w14:paraId="72E4C6A0">
      <w:pPr>
        <w:numPr>
          <w:ilvl w:val="0"/>
          <w:numId w:val="14"/>
        </w:numPr>
        <w:shd w:val="clear" w:color="auto" w:fill="FFFFFF"/>
        <w:spacing w:before="100" w:beforeAutospacing="1" w:after="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color w:val="0F1115"/>
          <w:sz w:val="24"/>
          <w:szCs w:val="24"/>
          <w:lang w:eastAsia="ru-RU"/>
        </w:rPr>
        <w:t>нетрудоспособности; уменьшение распространенности ХНИЗ и их факторов риска.</w:t>
      </w:r>
    </w:p>
    <w:p w14:paraId="4DA4E4F4">
      <w:pPr>
        <w:spacing w:before="480" w:after="48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pict>
          <v:rect id="_x0000_i1025" o:spt="1" style="height:0.75pt;width:0pt;" fillcolor="#A0A0A0" filled="t" stroked="f" coordsize="21600,21600" o:hr="t" o:hrstd="t" o:hralign="center">
            <v:path/>
            <v:fill on="t" focussize="0,0"/>
            <v:stroke on="f"/>
            <v:imagedata o:title=""/>
            <o:lock v:ext="edit"/>
            <w10:wrap type="none"/>
            <w10:anchorlock/>
          </v:rect>
        </w:pict>
      </w:r>
    </w:p>
    <w:p w14:paraId="671E7579">
      <w:pPr>
        <w:spacing w:before="480" w:after="480" w:line="240" w:lineRule="auto"/>
        <w:rPr>
          <w:rFonts w:ascii="Times New Roman" w:hAnsi="Times New Roman" w:eastAsia="Times New Roman" w:cs="Times New Roman"/>
          <w:sz w:val="24"/>
          <w:szCs w:val="24"/>
          <w:lang w:eastAsia="ru-RU"/>
        </w:rPr>
      </w:pPr>
    </w:p>
    <w:p w14:paraId="168D808C">
      <w:pPr>
        <w:spacing w:before="480" w:after="480" w:line="240" w:lineRule="auto"/>
        <w:rPr>
          <w:rFonts w:ascii="Times New Roman" w:hAnsi="Times New Roman" w:eastAsia="Times New Roman" w:cs="Times New Roman"/>
          <w:sz w:val="24"/>
          <w:szCs w:val="24"/>
          <w:lang w:eastAsia="ru-RU"/>
        </w:rPr>
      </w:pPr>
    </w:p>
    <w:p w14:paraId="4D892950">
      <w:pPr>
        <w:spacing w:before="480" w:after="480" w:line="240" w:lineRule="auto"/>
        <w:rPr>
          <w:rFonts w:ascii="Times New Roman" w:hAnsi="Times New Roman" w:eastAsia="Times New Roman" w:cs="Times New Roman"/>
          <w:sz w:val="24"/>
          <w:szCs w:val="24"/>
          <w:lang w:eastAsia="ru-RU"/>
        </w:rPr>
      </w:pPr>
    </w:p>
    <w:p w14:paraId="49F05628">
      <w:pPr>
        <w:shd w:val="clear" w:color="auto" w:fill="FFFFFF"/>
        <w:spacing w:before="240" w:after="240" w:line="240" w:lineRule="auto"/>
        <w:rPr>
          <w:rFonts w:ascii="Times New Roman" w:hAnsi="Times New Roman" w:eastAsia="Times New Roman" w:cs="Times New Roman"/>
          <w:color w:val="0F1115"/>
          <w:sz w:val="24"/>
          <w:szCs w:val="24"/>
          <w:lang w:eastAsia="ru-RU"/>
        </w:rPr>
      </w:pPr>
      <w:r>
        <w:rPr>
          <w:rFonts w:ascii="Times New Roman" w:hAnsi="Times New Roman" w:eastAsia="Times New Roman" w:cs="Times New Roman"/>
          <w:b/>
          <w:bCs/>
          <w:color w:val="0F1115"/>
          <w:sz w:val="24"/>
          <w:szCs w:val="24"/>
          <w:lang w:eastAsia="ru-RU"/>
        </w:rPr>
        <w:t>ПРИЛОЖЕНИЕ №1</w:t>
      </w:r>
      <w:r>
        <w:rPr>
          <w:rFonts w:ascii="Times New Roman" w:hAnsi="Times New Roman" w:eastAsia="Times New Roman" w:cs="Times New Roman"/>
          <w:color w:val="0F1115"/>
          <w:sz w:val="24"/>
          <w:szCs w:val="24"/>
          <w:lang w:eastAsia="ru-RU"/>
        </w:rPr>
        <w:br w:type="textWrapping"/>
      </w:r>
      <w:r>
        <w:rPr>
          <w:rFonts w:ascii="Times New Roman" w:hAnsi="Times New Roman" w:eastAsia="Times New Roman" w:cs="Times New Roman"/>
          <w:color w:val="0F1115"/>
          <w:sz w:val="24"/>
          <w:szCs w:val="24"/>
          <w:lang w:eastAsia="ru-RU"/>
        </w:rPr>
        <w:t>План организации и проведения мероприятий в рамках программы «[Наименование программы]» на 20___ г.</w:t>
      </w:r>
    </w:p>
    <w:tbl>
      <w:tblPr>
        <w:tblStyle w:val="4"/>
        <w:tblW w:w="0" w:type="auto"/>
        <w:tblInd w:w="0" w:type="dxa"/>
        <w:tblLayout w:type="autofit"/>
        <w:tblCellMar>
          <w:top w:w="15" w:type="dxa"/>
          <w:left w:w="15" w:type="dxa"/>
          <w:bottom w:w="15" w:type="dxa"/>
          <w:right w:w="15" w:type="dxa"/>
        </w:tblCellMar>
      </w:tblPr>
      <w:tblGrid>
        <w:gridCol w:w="554"/>
        <w:gridCol w:w="2321"/>
        <w:gridCol w:w="1627"/>
        <w:gridCol w:w="1689"/>
        <w:gridCol w:w="1739"/>
        <w:gridCol w:w="1665"/>
      </w:tblGrid>
      <w:tr w14:paraId="25C6B633">
        <w:tblPrEx>
          <w:tblCellMar>
            <w:top w:w="15" w:type="dxa"/>
            <w:left w:w="15" w:type="dxa"/>
            <w:bottom w:w="15" w:type="dxa"/>
            <w:right w:w="15" w:type="dxa"/>
          </w:tblCellMar>
        </w:tblPrEx>
        <w:trPr>
          <w:tblHeader/>
        </w:trPr>
        <w:tc>
          <w:tcPr>
            <w:tcW w:w="0" w:type="auto"/>
            <w:tcBorders>
              <w:top w:val="nil"/>
            </w:tcBorders>
            <w:tcMar>
              <w:top w:w="150" w:type="dxa"/>
              <w:left w:w="0" w:type="dxa"/>
              <w:bottom w:w="150" w:type="dxa"/>
              <w:right w:w="240" w:type="dxa"/>
            </w:tcMar>
            <w:vAlign w:val="center"/>
          </w:tcPr>
          <w:p w14:paraId="24261D7E">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п/п</w:t>
            </w:r>
          </w:p>
        </w:tc>
        <w:tc>
          <w:tcPr>
            <w:tcW w:w="0" w:type="auto"/>
            <w:tcBorders>
              <w:top w:val="nil"/>
            </w:tcBorders>
            <w:tcMar>
              <w:top w:w="150" w:type="dxa"/>
              <w:left w:w="240" w:type="dxa"/>
              <w:bottom w:w="150" w:type="dxa"/>
              <w:right w:w="240" w:type="dxa"/>
            </w:tcMar>
            <w:vAlign w:val="center"/>
          </w:tcPr>
          <w:p w14:paraId="65461FE5">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Мероприятие</w:t>
            </w:r>
          </w:p>
        </w:tc>
        <w:tc>
          <w:tcPr>
            <w:tcW w:w="0" w:type="auto"/>
            <w:tcBorders>
              <w:top w:val="nil"/>
            </w:tcBorders>
            <w:tcMar>
              <w:top w:w="150" w:type="dxa"/>
              <w:left w:w="240" w:type="dxa"/>
              <w:bottom w:w="150" w:type="dxa"/>
              <w:right w:w="240" w:type="dxa"/>
            </w:tcMar>
            <w:vAlign w:val="center"/>
          </w:tcPr>
          <w:p w14:paraId="4E428C13">
            <w:pPr>
              <w:spacing w:after="0" w:line="375"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Сроки проведения</w:t>
            </w:r>
          </w:p>
        </w:tc>
        <w:tc>
          <w:tcPr>
            <w:tcW w:w="0" w:type="auto"/>
            <w:tcBorders>
              <w:top w:val="nil"/>
            </w:tcBorders>
            <w:tcMar>
              <w:top w:w="150" w:type="dxa"/>
              <w:left w:w="240" w:type="dxa"/>
              <w:bottom w:w="150" w:type="dxa"/>
              <w:right w:w="240" w:type="dxa"/>
            </w:tcMar>
            <w:vAlign w:val="center"/>
          </w:tcPr>
          <w:p w14:paraId="6A04A6B7">
            <w:pPr>
              <w:spacing w:after="0" w:line="375"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Ответственный организатор</w:t>
            </w:r>
          </w:p>
        </w:tc>
        <w:tc>
          <w:tcPr>
            <w:tcW w:w="0" w:type="auto"/>
            <w:tcBorders>
              <w:top w:val="nil"/>
            </w:tcBorders>
            <w:tcMar>
              <w:top w:w="150" w:type="dxa"/>
              <w:left w:w="240" w:type="dxa"/>
              <w:bottom w:w="150" w:type="dxa"/>
              <w:right w:w="240" w:type="dxa"/>
            </w:tcMar>
            <w:vAlign w:val="center"/>
          </w:tcPr>
          <w:p w14:paraId="4F7CB74F">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Непосредственный исполнитель</w:t>
            </w:r>
          </w:p>
        </w:tc>
        <w:tc>
          <w:tcPr>
            <w:tcW w:w="0" w:type="auto"/>
            <w:tcBorders>
              <w:top w:val="nil"/>
            </w:tcBorders>
            <w:tcMar>
              <w:top w:w="150" w:type="dxa"/>
              <w:left w:w="240" w:type="dxa"/>
              <w:bottom w:w="150" w:type="dxa"/>
              <w:right w:w="240" w:type="dxa"/>
            </w:tcMar>
            <w:vAlign w:val="center"/>
          </w:tcPr>
          <w:p w14:paraId="7E914310">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Отметка об исполнении</w:t>
            </w:r>
          </w:p>
        </w:tc>
      </w:tr>
      <w:tr w14:paraId="3EFF72BB">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3487FE5">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p>
        </w:tc>
        <w:tc>
          <w:tcPr>
            <w:tcW w:w="0" w:type="auto"/>
            <w:tcMar>
              <w:top w:w="150" w:type="dxa"/>
              <w:left w:w="240" w:type="dxa"/>
              <w:bottom w:w="150" w:type="dxa"/>
              <w:right w:w="240" w:type="dxa"/>
            </w:tcMar>
            <w:vAlign w:val="center"/>
          </w:tcPr>
          <w:p w14:paraId="1F5F44F7">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Организационные мероприятия</w:t>
            </w:r>
          </w:p>
        </w:tc>
        <w:tc>
          <w:tcPr>
            <w:tcW w:w="0" w:type="auto"/>
            <w:tcMar>
              <w:top w:w="150" w:type="dxa"/>
              <w:left w:w="240" w:type="dxa"/>
              <w:bottom w:w="150" w:type="dxa"/>
              <w:right w:w="240" w:type="dxa"/>
            </w:tcMar>
            <w:vAlign w:val="center"/>
          </w:tcPr>
          <w:p w14:paraId="24E58A3A">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14F4AC63">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0986193A">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0" w:type="dxa"/>
            </w:tcMar>
            <w:vAlign w:val="center"/>
          </w:tcPr>
          <w:p w14:paraId="78826F94">
            <w:pPr>
              <w:spacing w:after="0" w:line="375" w:lineRule="atLeast"/>
              <w:rPr>
                <w:rFonts w:ascii="Times New Roman" w:hAnsi="Times New Roman" w:eastAsia="Times New Roman" w:cs="Times New Roman"/>
                <w:sz w:val="24"/>
                <w:szCs w:val="24"/>
                <w:lang w:eastAsia="ru-RU"/>
              </w:rPr>
            </w:pPr>
          </w:p>
        </w:tc>
      </w:tr>
      <w:tr w14:paraId="5724B283">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8E15469">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2770303D">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15F763D0">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4EBCD942">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3DE7A9BE">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0" w:type="dxa"/>
            </w:tcMar>
            <w:vAlign w:val="center"/>
          </w:tcPr>
          <w:p w14:paraId="7B67C605">
            <w:pPr>
              <w:spacing w:after="0" w:line="375" w:lineRule="atLeast"/>
              <w:rPr>
                <w:rFonts w:ascii="Times New Roman" w:hAnsi="Times New Roman" w:eastAsia="Times New Roman" w:cs="Times New Roman"/>
                <w:sz w:val="24"/>
                <w:szCs w:val="24"/>
                <w:lang w:eastAsia="ru-RU"/>
              </w:rPr>
            </w:pPr>
          </w:p>
        </w:tc>
      </w:tr>
      <w:tr w14:paraId="33E7465C">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5E13FCE">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p>
        </w:tc>
        <w:tc>
          <w:tcPr>
            <w:tcW w:w="0" w:type="auto"/>
            <w:tcMar>
              <w:top w:w="150" w:type="dxa"/>
              <w:left w:w="240" w:type="dxa"/>
              <w:bottom w:w="150" w:type="dxa"/>
              <w:right w:w="240" w:type="dxa"/>
            </w:tcMar>
            <w:vAlign w:val="center"/>
          </w:tcPr>
          <w:p w14:paraId="1D59911D">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Информационно-просветительские мероприятия</w:t>
            </w:r>
          </w:p>
        </w:tc>
        <w:tc>
          <w:tcPr>
            <w:tcW w:w="0" w:type="auto"/>
            <w:tcMar>
              <w:top w:w="150" w:type="dxa"/>
              <w:left w:w="240" w:type="dxa"/>
              <w:bottom w:w="150" w:type="dxa"/>
              <w:right w:w="240" w:type="dxa"/>
            </w:tcMar>
            <w:vAlign w:val="center"/>
          </w:tcPr>
          <w:p w14:paraId="1020BFC2">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53692E1F">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051B4165">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0" w:type="dxa"/>
            </w:tcMar>
            <w:vAlign w:val="center"/>
          </w:tcPr>
          <w:p w14:paraId="01A862E9">
            <w:pPr>
              <w:spacing w:after="0" w:line="375" w:lineRule="atLeast"/>
              <w:rPr>
                <w:rFonts w:ascii="Times New Roman" w:hAnsi="Times New Roman" w:eastAsia="Times New Roman" w:cs="Times New Roman"/>
                <w:sz w:val="24"/>
                <w:szCs w:val="24"/>
                <w:lang w:eastAsia="ru-RU"/>
              </w:rPr>
            </w:pPr>
          </w:p>
        </w:tc>
      </w:tr>
      <w:tr w14:paraId="1EFD3A2A">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A82F65D">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1D3222F2">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27734EEB">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0DA75F45">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68FEA1FF">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0" w:type="dxa"/>
            </w:tcMar>
            <w:vAlign w:val="center"/>
          </w:tcPr>
          <w:p w14:paraId="0B999BDE">
            <w:pPr>
              <w:spacing w:after="0" w:line="375" w:lineRule="atLeast"/>
              <w:rPr>
                <w:rFonts w:ascii="Times New Roman" w:hAnsi="Times New Roman" w:eastAsia="Times New Roman" w:cs="Times New Roman"/>
                <w:sz w:val="24"/>
                <w:szCs w:val="24"/>
                <w:lang w:eastAsia="ru-RU"/>
              </w:rPr>
            </w:pPr>
          </w:p>
        </w:tc>
      </w:tr>
      <w:tr w14:paraId="04120757">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3AD1EAB">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p>
        </w:tc>
        <w:tc>
          <w:tcPr>
            <w:tcW w:w="0" w:type="auto"/>
            <w:tcMar>
              <w:top w:w="150" w:type="dxa"/>
              <w:left w:w="240" w:type="dxa"/>
              <w:bottom w:w="150" w:type="dxa"/>
              <w:right w:w="240" w:type="dxa"/>
            </w:tcMar>
            <w:vAlign w:val="center"/>
          </w:tcPr>
          <w:p w14:paraId="537E75EA">
            <w:pPr>
              <w:spacing w:after="0" w:line="37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Массовые акции / профилактические мероприятия</w:t>
            </w:r>
          </w:p>
        </w:tc>
        <w:tc>
          <w:tcPr>
            <w:tcW w:w="0" w:type="auto"/>
            <w:tcMar>
              <w:top w:w="150" w:type="dxa"/>
              <w:left w:w="240" w:type="dxa"/>
              <w:bottom w:w="150" w:type="dxa"/>
              <w:right w:w="240" w:type="dxa"/>
            </w:tcMar>
            <w:vAlign w:val="center"/>
          </w:tcPr>
          <w:p w14:paraId="357E6C26">
            <w:pPr>
              <w:spacing w:after="0" w:line="375" w:lineRule="atLeast"/>
              <w:rPr>
                <w:rFonts w:ascii="Times New Roman" w:hAnsi="Times New Roman" w:eastAsia="Times New Roman" w:cs="Times New Roman"/>
                <w:sz w:val="24"/>
                <w:szCs w:val="24"/>
                <w:lang w:eastAsia="ru-RU"/>
              </w:rPr>
            </w:pPr>
          </w:p>
        </w:tc>
        <w:tc>
          <w:tcPr>
            <w:tcW w:w="0" w:type="auto"/>
            <w:tcMar>
              <w:top w:w="150" w:type="dxa"/>
              <w:left w:w="240" w:type="dxa"/>
              <w:bottom w:w="150" w:type="dxa"/>
              <w:right w:w="240" w:type="dxa"/>
            </w:tcMar>
            <w:vAlign w:val="center"/>
          </w:tcPr>
          <w:p w14:paraId="4E07B4FC">
            <w:pPr>
              <w:spacing w:after="0" w:line="375" w:lineRule="atLeast"/>
              <w:rPr>
                <w:rFonts w:ascii="Times New Roman" w:hAnsi="Times New Roman" w:eastAsia="Times New Roman" w:cs="Times New Roman"/>
                <w:sz w:val="24"/>
                <w:szCs w:val="24"/>
                <w:lang w:eastAsia="ru-RU"/>
              </w:rPr>
            </w:pPr>
          </w:p>
        </w:tc>
        <w:tc>
          <w:tcPr>
            <w:tcW w:w="0" w:type="auto"/>
            <w:vAlign w:val="center"/>
          </w:tcPr>
          <w:p w14:paraId="18B716D1">
            <w:pPr>
              <w:spacing w:after="0" w:line="240" w:lineRule="auto"/>
              <w:rPr>
                <w:rFonts w:ascii="Times New Roman" w:hAnsi="Times New Roman" w:eastAsia="Times New Roman" w:cs="Times New Roman"/>
                <w:sz w:val="24"/>
                <w:szCs w:val="24"/>
                <w:lang w:eastAsia="ru-RU"/>
              </w:rPr>
            </w:pPr>
          </w:p>
        </w:tc>
        <w:tc>
          <w:tcPr>
            <w:tcW w:w="0" w:type="auto"/>
            <w:vAlign w:val="center"/>
          </w:tcPr>
          <w:p w14:paraId="42F31FA6">
            <w:pPr>
              <w:spacing w:after="0" w:line="240" w:lineRule="auto"/>
              <w:rPr>
                <w:rFonts w:ascii="Times New Roman" w:hAnsi="Times New Roman" w:eastAsia="Times New Roman" w:cs="Times New Roman"/>
                <w:sz w:val="24"/>
                <w:szCs w:val="24"/>
                <w:lang w:eastAsia="ru-RU"/>
              </w:rPr>
            </w:pPr>
          </w:p>
        </w:tc>
      </w:tr>
    </w:tbl>
    <w:p w14:paraId="4BE0EB3D">
      <w:pPr>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C0D81"/>
    <w:multiLevelType w:val="multilevel"/>
    <w:tmpl w:val="070C0D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B810FB"/>
    <w:multiLevelType w:val="multilevel"/>
    <w:tmpl w:val="0CB810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044D94"/>
    <w:multiLevelType w:val="multilevel"/>
    <w:tmpl w:val="0F044D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3752EE9"/>
    <w:multiLevelType w:val="multilevel"/>
    <w:tmpl w:val="13752E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FF776D1"/>
    <w:multiLevelType w:val="multilevel"/>
    <w:tmpl w:val="1FF776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74A0DBD"/>
    <w:multiLevelType w:val="multilevel"/>
    <w:tmpl w:val="274A0D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D6C4B3F"/>
    <w:multiLevelType w:val="multilevel"/>
    <w:tmpl w:val="2D6C4B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C971502"/>
    <w:multiLevelType w:val="multilevel"/>
    <w:tmpl w:val="4C9715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67E63D9"/>
    <w:multiLevelType w:val="multilevel"/>
    <w:tmpl w:val="567E63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BFC2632"/>
    <w:multiLevelType w:val="multilevel"/>
    <w:tmpl w:val="5BFC2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70272F0"/>
    <w:multiLevelType w:val="multilevel"/>
    <w:tmpl w:val="670272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A3B39AB"/>
    <w:multiLevelType w:val="multilevel"/>
    <w:tmpl w:val="6A3B39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98A75D1"/>
    <w:multiLevelType w:val="multilevel"/>
    <w:tmpl w:val="798A75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AA72389"/>
    <w:multiLevelType w:val="multilevel"/>
    <w:tmpl w:val="7AA723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10"/>
  </w:num>
  <w:num w:numId="3">
    <w:abstractNumId w:val="12"/>
  </w:num>
  <w:num w:numId="4">
    <w:abstractNumId w:val="5"/>
  </w:num>
  <w:num w:numId="5">
    <w:abstractNumId w:val="2"/>
  </w:num>
  <w:num w:numId="6">
    <w:abstractNumId w:val="11"/>
  </w:num>
  <w:num w:numId="7">
    <w:abstractNumId w:val="4"/>
  </w:num>
  <w:num w:numId="8">
    <w:abstractNumId w:val="8"/>
  </w:num>
  <w:num w:numId="9">
    <w:abstractNumId w:val="6"/>
  </w:num>
  <w:num w:numId="10">
    <w:abstractNumId w:val="9"/>
  </w:num>
  <w:num w:numId="11">
    <w:abstractNumId w:val="13"/>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92"/>
    <w:rsid w:val="000E4236"/>
    <w:rsid w:val="003E2A7B"/>
    <w:rsid w:val="00465E7F"/>
    <w:rsid w:val="008469E0"/>
    <w:rsid w:val="00A51183"/>
    <w:rsid w:val="00C806B6"/>
    <w:rsid w:val="00CB3D32"/>
    <w:rsid w:val="00D35892"/>
    <w:rsid w:val="00F6689E"/>
    <w:rsid w:val="5A3E7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9"/>
    <w:semiHidden/>
    <w:unhideWhenUsed/>
    <w:qFormat/>
    <w:uiPriority w:val="99"/>
    <w:pPr>
      <w:spacing w:after="0" w:line="240" w:lineRule="auto"/>
    </w:pPr>
    <w:rPr>
      <w:rFonts w:ascii="Tahoma" w:hAnsi="Tahoma" w:cs="Tahoma"/>
      <w:sz w:val="16"/>
      <w:szCs w:val="16"/>
    </w:rPr>
  </w:style>
  <w:style w:type="character" w:customStyle="1" w:styleId="7">
    <w:name w:val="Заголовок 3 Знак"/>
    <w:basedOn w:val="3"/>
    <w:link w:val="2"/>
    <w:qFormat/>
    <w:uiPriority w:val="9"/>
    <w:rPr>
      <w:rFonts w:ascii="Times New Roman" w:hAnsi="Times New Roman" w:eastAsia="Times New Roman" w:cs="Times New Roman"/>
      <w:b/>
      <w:bCs/>
      <w:sz w:val="27"/>
      <w:szCs w:val="27"/>
      <w:lang w:eastAsia="ru-RU"/>
    </w:rPr>
  </w:style>
  <w:style w:type="paragraph" w:customStyle="1" w:styleId="8">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Текст выноски Знак"/>
    <w:basedOn w:val="3"/>
    <w:link w:val="6"/>
    <w:semiHidden/>
    <w:qFormat/>
    <w:uiPriority w:val="99"/>
    <w:rPr>
      <w:rFonts w:ascii="Tahoma" w:hAnsi="Tahoma" w:cs="Tahoma"/>
      <w:sz w:val="16"/>
      <w:szCs w:val="16"/>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1711</Words>
  <Characters>9759</Characters>
  <Lines>81</Lines>
  <Paragraphs>22</Paragraphs>
  <TotalTime>7</TotalTime>
  <ScaleCrop>false</ScaleCrop>
  <LinksUpToDate>false</LinksUpToDate>
  <CharactersWithSpaces>11448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2026-02-27T06:11:00Z</dcterms:created>
  <dc:creator>Алексей Малыванов</dc:creator>
  <cp:lastModifiedBy>Елена Устинова</cp:lastModifiedBy>
  <dcterms:modified xsi:type="dcterms:W3CDTF">2026-02-27T07:37:40Z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378546C179914A7EA12079BCB862BDF4_13</vt:lpwstr>
  </property>
</Properties>
</file>